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bookmarkStart w:id="0" w:name="_GoBack"/>
      <w:r>
        <w:rPr>
          <w:rFonts w:hint="eastAsia"/>
        </w:rPr>
        <w:t>清华大学201</w:t>
      </w:r>
      <w:r>
        <w:rPr>
          <w:rFonts w:hint="eastAsia"/>
          <w:lang w:val="en-US" w:eastAsia="zh-CN"/>
        </w:rPr>
        <w:t>8</w:t>
      </w:r>
      <w:r>
        <w:rPr>
          <w:rFonts w:hint="eastAsia"/>
        </w:rPr>
        <w:t>年硕士研究生招生复试基本分数线</w:t>
      </w:r>
    </w:p>
    <w:bookmarkEnd w:id="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学校复试分数基本要求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各院系在达到学校复试分数基本要求的生源充足的情况下，可根据本学科、专业特点及生源和招生计划数制定不低于学校基本要求的本院系学科（专业）复试基本要求，并以此确定入围复试考生名单。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1、统考生、联考生：见附表1。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2、单考生：同时满足满分100分科目单科成绩不低于35分；满分150分科目单科成绩不低于52分；满分300分科目单科成绩不低于105分；总分不低于254分。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3、专项计划生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（1）“强军计划”：同时满足满分100分科目单科成绩不低于35分；满分150分科目单科成绩不低于52分；总分不低于254分。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2）“少数民族高层次骨干人才计划”（不含新疆MPA项目）：同时满足满分100分科目单科成绩不低于50分；满分150分科目单科成绩不低于80分；满分200分科目单科成绩不低于107分；满分300分科目单科成绩不低于160分；总分满分300分考生总分不低于195分；总分满分500分考生中，理工医考生（报考专业代码前两位为“07”、“08”或“10”）要求总分不低于305分，非理工医考生总分不低于325分。或者依据所报考院系（专业）复试分数线，总分线降5分，单科线不降。两项分数政策不可同时享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（3）“少数民族高层次骨干人才计划”（新疆MPA项目）：同时满足满分100分科目单科成绩不低于35分；满分200分科目单科成绩不低于70分；总分不低于135分。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（4）“退役大学生士兵专项硕士研究生招生计划”： 同时满足满分100分科目单科成绩不低于50分；满分150分科目单科成绩不低于80分；满分200分科目单科成绩不低于107分；满分300分科目单科成绩不低于160分；总分满分300分考生总分不低于195分；总分满分500分考生中，理工医考生（报考专业代码前两位为“07”、“08”或“10”）要求总分不低于305分，非理工医考生总分不低于325分。或者，按照所报考院系（专业）复试分数线，总分线降10分，单科线不降。两项分数政策不可同时享受。“退役大学生士兵专项硕士研究生招生计划”考生允许调剂到普通计划，需调剂的考生必须在所报考院系专业复试之前联系报考院系提交调剂申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4、“大学生志愿服务西部计划”“三支一扶计划”“农村义务教育阶段学校教师特设岗位计划”“赴国外汉语教师志愿者”“选聘高校毕业生到村任职”等项目服务考生，按照教育部当年度硕士研究生招生录取工作的相关规定享受加分政策。享受加分政策考生需于3月13日前向招生院系提出书面申请，并提交相关证明材料。其中拟录取享受“大学生志愿服务西部计划”等政策的考生提交的证明材料需包括《大学生志愿服务西部计划志愿服务证》、《志愿服务鉴定书》和服务单位证明等材料复印件；退役义务兵需提交《入伍批准书》和《退出现役证》复印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1、附件：清华大学2018年硕士生入学考试复试资格基本要求*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*：考生还须达到院系确定的复试基本要求方能进入复试</w:t>
      </w:r>
    </w:p>
    <w:tbl>
      <w:tblPr>
        <w:tblW w:w="0" w:type="auto"/>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4035"/>
        <w:gridCol w:w="1080"/>
        <w:gridCol w:w="675"/>
        <w:gridCol w:w="555"/>
        <w:gridCol w:w="915"/>
        <w:gridCol w:w="90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5" w:hRule="atLeast"/>
          <w:tblCellSpacing w:w="0" w:type="dxa"/>
        </w:trPr>
        <w:tc>
          <w:tcPr>
            <w:tcW w:w="48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宋体" w:hAnsi="宋体" w:eastAsia="宋体" w:cs="宋体"/>
                <w:color w:val="333333"/>
                <w:sz w:val="24"/>
                <w:szCs w:val="24"/>
              </w:rPr>
              <w:t>类型</w:t>
            </w:r>
          </w:p>
        </w:tc>
        <w:tc>
          <w:tcPr>
            <w:tcW w:w="4020" w:type="dxa"/>
            <w:tcBorders>
              <w:top w:val="single" w:color="auto" w:sz="6" w:space="0"/>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宋体" w:hAnsi="宋体" w:eastAsia="宋体" w:cs="宋体"/>
                <w:color w:val="333333"/>
                <w:sz w:val="24"/>
                <w:szCs w:val="24"/>
              </w:rPr>
              <w:t>报考学科门类（专业）</w:t>
            </w:r>
          </w:p>
        </w:tc>
        <w:tc>
          <w:tcPr>
            <w:tcW w:w="1065" w:type="dxa"/>
            <w:tcBorders>
              <w:top w:val="single" w:color="auto" w:sz="6" w:space="0"/>
              <w:left w:val="nil"/>
              <w:bottom w:val="single" w:color="auto" w:sz="6" w:space="0"/>
              <w:right w:val="single" w:color="auto" w:sz="6" w:space="0"/>
            </w:tcBorders>
            <w:shd w:val="clear"/>
            <w:noWrap/>
            <w:tcMar>
              <w:left w:w="60" w:type="dxa"/>
              <w:right w:w="60"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rPr>
              <w:t>总分</w:t>
            </w:r>
          </w:p>
        </w:tc>
        <w:tc>
          <w:tcPr>
            <w:tcW w:w="67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宋体" w:hAnsi="宋体" w:eastAsia="宋体" w:cs="宋体"/>
                <w:color w:val="333333"/>
                <w:sz w:val="24"/>
                <w:szCs w:val="24"/>
              </w:rPr>
              <w:t>政治</w:t>
            </w:r>
          </w:p>
        </w:tc>
        <w:tc>
          <w:tcPr>
            <w:tcW w:w="55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宋体" w:hAnsi="宋体" w:eastAsia="宋体" w:cs="宋体"/>
                <w:color w:val="333333"/>
                <w:sz w:val="24"/>
                <w:szCs w:val="24"/>
              </w:rPr>
              <w:t>外语</w:t>
            </w:r>
          </w:p>
        </w:tc>
        <w:tc>
          <w:tcPr>
            <w:tcW w:w="91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宋体" w:hAnsi="宋体" w:eastAsia="宋体" w:cs="宋体"/>
                <w:color w:val="333333"/>
                <w:sz w:val="24"/>
                <w:szCs w:val="24"/>
              </w:rPr>
              <w:t>业务课一</w:t>
            </w:r>
          </w:p>
        </w:tc>
        <w:tc>
          <w:tcPr>
            <w:tcW w:w="900" w:type="dxa"/>
            <w:tcBorders>
              <w:top w:val="single" w:color="auto" w:sz="6" w:space="0"/>
              <w:left w:val="nil"/>
              <w:bottom w:val="single" w:color="auto" w:sz="6" w:space="0"/>
              <w:right w:val="single" w:color="auto" w:sz="6" w:space="0"/>
            </w:tcBorders>
            <w:shd w:val="clear"/>
            <w:vAlign w:val="top"/>
          </w:tcPr>
          <w:p>
            <w:pPr>
              <w:pStyle w:val="2"/>
              <w:keepNext w:val="0"/>
              <w:keepLines w:val="0"/>
              <w:widowControl/>
              <w:suppressLineNumbers w:val="0"/>
              <w:jc w:val="center"/>
            </w:pPr>
            <w:r>
              <w:rPr>
                <w:rFonts w:hint="eastAsia" w:ascii="宋体" w:hAnsi="宋体" w:eastAsia="宋体" w:cs="宋体"/>
                <w:color w:val="333333"/>
                <w:sz w:val="24"/>
                <w:szCs w:val="24"/>
              </w:rPr>
              <w:t>业务课二</w:t>
            </w:r>
          </w:p>
        </w:tc>
        <w:tc>
          <w:tcPr>
            <w:tcW w:w="1035" w:type="dxa"/>
            <w:tcBorders>
              <w:top w:val="single" w:color="auto" w:sz="6" w:space="0"/>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宋体" w:hAnsi="宋体" w:eastAsia="宋体" w:cs="宋体"/>
                <w:color w:val="333333"/>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restart"/>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jc w:val="left"/>
            </w:pPr>
            <w:r>
              <w:rPr>
                <w:rFonts w:ascii="仿宋" w:hAnsi="仿宋" w:eastAsia="仿宋" w:cs="仿宋"/>
                <w:color w:val="333333"/>
                <w:sz w:val="24"/>
                <w:szCs w:val="24"/>
              </w:rPr>
              <w:t> </w:t>
            </w:r>
          </w:p>
          <w:p>
            <w:pPr>
              <w:pStyle w:val="2"/>
              <w:keepNext w:val="0"/>
              <w:keepLines w:val="0"/>
              <w:widowControl/>
              <w:suppressLineNumbers w:val="0"/>
              <w:jc w:val="left"/>
            </w:pPr>
            <w:r>
              <w:rPr>
                <w:rFonts w:hint="eastAsia" w:ascii="仿宋" w:hAnsi="仿宋" w:eastAsia="仿宋" w:cs="仿宋"/>
                <w:color w:val="333333"/>
                <w:sz w:val="24"/>
                <w:szCs w:val="24"/>
              </w:rPr>
              <w:t> </w:t>
            </w:r>
          </w:p>
          <w:p>
            <w:pPr>
              <w:pStyle w:val="2"/>
              <w:keepNext w:val="0"/>
              <w:keepLines w:val="0"/>
              <w:widowControl/>
              <w:suppressLineNumbers w:val="0"/>
              <w:jc w:val="left"/>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学</w:t>
            </w:r>
          </w:p>
          <w:p>
            <w:pPr>
              <w:pStyle w:val="2"/>
              <w:keepNext w:val="0"/>
              <w:keepLines w:val="0"/>
              <w:widowControl/>
              <w:suppressLineNumbers w:val="0"/>
              <w:jc w:val="center"/>
            </w:pPr>
            <w:r>
              <w:rPr>
                <w:rFonts w:hint="eastAsia" w:ascii="仿宋" w:hAnsi="仿宋" w:eastAsia="仿宋" w:cs="仿宋"/>
                <w:color w:val="333333"/>
                <w:sz w:val="24"/>
                <w:szCs w:val="24"/>
              </w:rPr>
              <w:t>术</w:t>
            </w:r>
          </w:p>
          <w:p>
            <w:pPr>
              <w:pStyle w:val="2"/>
              <w:keepNext w:val="0"/>
              <w:keepLines w:val="0"/>
              <w:widowControl/>
              <w:suppressLineNumbers w:val="0"/>
              <w:jc w:val="center"/>
            </w:pPr>
            <w:r>
              <w:rPr>
                <w:rFonts w:hint="eastAsia" w:ascii="仿宋" w:hAnsi="仿宋" w:eastAsia="仿宋" w:cs="仿宋"/>
                <w:color w:val="333333"/>
                <w:sz w:val="24"/>
                <w:szCs w:val="24"/>
              </w:rPr>
              <w:t>型</w:t>
            </w:r>
          </w:p>
          <w:p>
            <w:pPr>
              <w:pStyle w:val="2"/>
              <w:keepNext w:val="0"/>
              <w:keepLines w:val="0"/>
              <w:widowControl/>
              <w:suppressLineNumbers w:val="0"/>
              <w:jc w:val="center"/>
            </w:pPr>
            <w:r>
              <w:rPr>
                <w:rFonts w:hint="eastAsia" w:ascii="仿宋" w:hAnsi="仿宋" w:eastAsia="仿宋" w:cs="仿宋"/>
                <w:color w:val="333333"/>
                <w:sz w:val="24"/>
                <w:szCs w:val="24"/>
              </w:rPr>
              <w:t>学</w:t>
            </w:r>
          </w:p>
          <w:p>
            <w:pPr>
              <w:pStyle w:val="2"/>
              <w:keepNext w:val="0"/>
              <w:keepLines w:val="0"/>
              <w:widowControl/>
              <w:suppressLineNumbers w:val="0"/>
              <w:jc w:val="center"/>
            </w:pPr>
            <w:r>
              <w:rPr>
                <w:rFonts w:hint="eastAsia" w:ascii="仿宋" w:hAnsi="仿宋" w:eastAsia="仿宋" w:cs="仿宋"/>
                <w:color w:val="333333"/>
                <w:sz w:val="24"/>
                <w:szCs w:val="24"/>
              </w:rPr>
              <w:t>位</w:t>
            </w: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哲学[01]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365</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restart"/>
            <w:tcBorders>
              <w:top w:val="nil"/>
              <w:left w:val="nil"/>
              <w:bottom w:val="single" w:color="auto" w:sz="6" w:space="0"/>
              <w:right w:val="single" w:color="auto" w:sz="6" w:space="0"/>
            </w:tcBorders>
            <w:shd w:val="clear"/>
            <w:vAlign w:val="center"/>
          </w:tcPr>
          <w:p>
            <w:pPr>
              <w:pStyle w:val="2"/>
              <w:keepNext w:val="0"/>
              <w:keepLines w:val="0"/>
              <w:widowControl/>
              <w:suppressLineNumbers w:val="0"/>
            </w:pPr>
            <w:r>
              <w:rPr>
                <w:rFonts w:hint="eastAsia" w:ascii="宋体" w:hAnsi="宋体" w:eastAsia="宋体" w:cs="宋体"/>
                <w:color w:val="333333"/>
                <w:sz w:val="24"/>
                <w:szCs w:val="24"/>
              </w:rPr>
              <w:t>各院系可根据本学科、专业特点及生源和计划数制定不低于学校基本要求的本院系学科、专业复试基本要求。考生须达到院系确定的学科、专业复试基本要求才能进入复试。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eastAsia"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经济学[02]</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370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法学[03]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335</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教育学[04] (不含体育学[0403])</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340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体育学[0403]</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345</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文学[05]</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330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85</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85</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历史学[06]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340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理学[07] (不含科学技术史[0712])</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320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科学技术史[0712]</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330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工学[08]</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310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医学[10]</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310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管理学[12]</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330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艺术学[13]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300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85</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100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restart"/>
            <w:tcBorders>
              <w:top w:val="nil"/>
              <w:left w:val="single" w:color="auto" w:sz="6" w:space="0"/>
              <w:bottom w:val="single" w:color="auto" w:sz="6" w:space="0"/>
              <w:right w:val="single" w:color="auto" w:sz="6" w:space="0"/>
            </w:tcBorders>
            <w:shd w:val="clear"/>
            <w:vAlign w:val="top"/>
          </w:tcPr>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 </w:t>
            </w:r>
          </w:p>
          <w:p>
            <w:pPr>
              <w:pStyle w:val="2"/>
              <w:keepNext w:val="0"/>
              <w:keepLines w:val="0"/>
              <w:widowControl/>
              <w:suppressLineNumbers w:val="0"/>
              <w:jc w:val="center"/>
            </w:pPr>
            <w:r>
              <w:rPr>
                <w:rFonts w:hint="eastAsia" w:ascii="仿宋" w:hAnsi="仿宋" w:eastAsia="仿宋" w:cs="仿宋"/>
                <w:color w:val="333333"/>
                <w:sz w:val="24"/>
                <w:szCs w:val="24"/>
              </w:rPr>
              <w:t>专</w:t>
            </w:r>
          </w:p>
          <w:p>
            <w:pPr>
              <w:pStyle w:val="2"/>
              <w:keepNext w:val="0"/>
              <w:keepLines w:val="0"/>
              <w:widowControl/>
              <w:suppressLineNumbers w:val="0"/>
              <w:jc w:val="center"/>
            </w:pPr>
            <w:r>
              <w:rPr>
                <w:rFonts w:hint="eastAsia" w:ascii="仿宋" w:hAnsi="仿宋" w:eastAsia="仿宋" w:cs="仿宋"/>
                <w:color w:val="333333"/>
                <w:sz w:val="24"/>
                <w:szCs w:val="24"/>
              </w:rPr>
              <w:t>业</w:t>
            </w:r>
          </w:p>
          <w:p>
            <w:pPr>
              <w:pStyle w:val="2"/>
              <w:keepNext w:val="0"/>
              <w:keepLines w:val="0"/>
              <w:widowControl/>
              <w:suppressLineNumbers w:val="0"/>
              <w:jc w:val="center"/>
            </w:pPr>
            <w:r>
              <w:rPr>
                <w:rFonts w:hint="eastAsia" w:ascii="仿宋" w:hAnsi="仿宋" w:eastAsia="仿宋" w:cs="仿宋"/>
                <w:color w:val="333333"/>
                <w:sz w:val="24"/>
                <w:szCs w:val="24"/>
              </w:rPr>
              <w:t>学</w:t>
            </w:r>
          </w:p>
          <w:p>
            <w:pPr>
              <w:pStyle w:val="2"/>
              <w:keepNext w:val="0"/>
              <w:keepLines w:val="0"/>
              <w:widowControl/>
              <w:suppressLineNumbers w:val="0"/>
              <w:jc w:val="center"/>
            </w:pPr>
            <w:r>
              <w:rPr>
                <w:rFonts w:hint="eastAsia" w:ascii="仿宋" w:hAnsi="仿宋" w:eastAsia="仿宋" w:cs="仿宋"/>
                <w:color w:val="333333"/>
                <w:sz w:val="24"/>
                <w:szCs w:val="24"/>
              </w:rPr>
              <w:t>位</w:t>
            </w: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金融 [0251]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368</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应用统计[0252]</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350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法律硕士(非法学)[0351]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360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社会工作[0352]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360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体育[0452]</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345</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应用心理[0454]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360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新闻与传播[0552]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300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建筑学硕士[0851]</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380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工程[0852]</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310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城市规划硕士[0853]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390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50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90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风景园林硕士[0953]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300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临床医学[1051]</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300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45</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45</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170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公共卫生[1053] </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320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45</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45</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180</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工商管理（MBA）[1251]</w:t>
            </w:r>
          </w:p>
        </w:tc>
        <w:tc>
          <w:tcPr>
            <w:tcW w:w="4110"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jc w:val="left"/>
            </w:pPr>
            <w:r>
              <w:rPr>
                <w:rFonts w:hint="eastAsia" w:ascii="仿宋" w:hAnsi="仿宋" w:eastAsia="仿宋" w:cs="仿宋"/>
                <w:color w:val="000000"/>
                <w:sz w:val="24"/>
                <w:szCs w:val="24"/>
              </w:rPr>
              <w:t>同教育部A类考生线</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高级管理人员工商管理硕士（EMBA）[1251]</w:t>
            </w:r>
          </w:p>
        </w:tc>
        <w:tc>
          <w:tcPr>
            <w:tcW w:w="4110"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jc w:val="left"/>
            </w:pPr>
            <w:r>
              <w:rPr>
                <w:rFonts w:hint="eastAsia" w:ascii="仿宋" w:hAnsi="仿宋" w:eastAsia="仿宋" w:cs="仿宋"/>
                <w:color w:val="000000"/>
                <w:sz w:val="24"/>
                <w:szCs w:val="24"/>
              </w:rPr>
              <w:t>总分120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公共管理（MPA）[1252]   </w:t>
            </w:r>
          </w:p>
        </w:tc>
        <w:tc>
          <w:tcPr>
            <w:tcW w:w="4110"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jc w:val="left"/>
            </w:pPr>
            <w:r>
              <w:rPr>
                <w:rFonts w:hint="eastAsia" w:ascii="仿宋" w:hAnsi="仿宋" w:eastAsia="仿宋" w:cs="仿宋"/>
                <w:color w:val="000000"/>
                <w:sz w:val="24"/>
                <w:szCs w:val="24"/>
              </w:rPr>
              <w:t>外语45，综合110，总分200</w:t>
            </w:r>
          </w:p>
          <w:p>
            <w:pPr>
              <w:pStyle w:val="2"/>
              <w:keepNext w:val="0"/>
              <w:keepLines w:val="0"/>
              <w:widowControl/>
              <w:suppressLineNumbers w:val="0"/>
              <w:jc w:val="left"/>
            </w:pPr>
            <w:r>
              <w:rPr>
                <w:rFonts w:hint="eastAsia" w:ascii="仿宋" w:hAnsi="仿宋" w:eastAsia="仿宋" w:cs="仿宋"/>
                <w:color w:val="000000"/>
                <w:sz w:val="24"/>
                <w:szCs w:val="24"/>
              </w:rPr>
              <w:t>具体见MPA招生简章</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会计硕士[1253]</w:t>
            </w:r>
          </w:p>
        </w:tc>
        <w:tc>
          <w:tcPr>
            <w:tcW w:w="4110"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jc w:val="left"/>
            </w:pPr>
            <w:r>
              <w:rPr>
                <w:rFonts w:hint="eastAsia" w:ascii="仿宋" w:hAnsi="仿宋" w:eastAsia="仿宋" w:cs="仿宋"/>
                <w:color w:val="000000"/>
                <w:sz w:val="24"/>
                <w:szCs w:val="24"/>
              </w:rPr>
              <w:t>同教育部A类考生线</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 xml:space="preserve">工程管理[1256] </w:t>
            </w:r>
          </w:p>
        </w:tc>
        <w:tc>
          <w:tcPr>
            <w:tcW w:w="4110" w:type="dxa"/>
            <w:gridSpan w:val="5"/>
            <w:tcBorders>
              <w:top w:val="nil"/>
              <w:left w:val="nil"/>
              <w:bottom w:val="single" w:color="auto" w:sz="6" w:space="0"/>
              <w:right w:val="single" w:color="auto" w:sz="6" w:space="0"/>
            </w:tcBorders>
            <w:shd w:val="clear"/>
            <w:vAlign w:val="center"/>
          </w:tcPr>
          <w:p>
            <w:pPr>
              <w:pStyle w:val="2"/>
              <w:keepNext w:val="0"/>
              <w:keepLines w:val="0"/>
              <w:widowControl/>
              <w:suppressLineNumbers w:val="0"/>
              <w:jc w:val="left"/>
            </w:pPr>
            <w:r>
              <w:rPr>
                <w:rFonts w:hint="eastAsia" w:ascii="仿宋" w:hAnsi="仿宋" w:eastAsia="仿宋" w:cs="仿宋"/>
                <w:color w:val="000000"/>
                <w:sz w:val="24"/>
                <w:szCs w:val="24"/>
              </w:rPr>
              <w:t>A线：同教育部A类考生线</w:t>
            </w:r>
          </w:p>
          <w:p>
            <w:pPr>
              <w:pStyle w:val="2"/>
              <w:keepNext w:val="0"/>
              <w:keepLines w:val="0"/>
              <w:widowControl/>
              <w:suppressLineNumbers w:val="0"/>
              <w:jc w:val="left"/>
            </w:pPr>
            <w:r>
              <w:rPr>
                <w:rFonts w:hint="eastAsia" w:ascii="仿宋" w:hAnsi="仿宋" w:eastAsia="仿宋" w:cs="仿宋"/>
                <w:color w:val="000000"/>
                <w:sz w:val="24"/>
                <w:szCs w:val="24"/>
              </w:rPr>
              <w:t>B线：具体见MEM招生方案</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blCellSpacing w:w="0" w:type="dxa"/>
        </w:trPr>
        <w:tc>
          <w:tcPr>
            <w:tcW w:w="480" w:type="dxa"/>
            <w:vMerge w:val="continue"/>
            <w:tcBorders>
              <w:top w:val="nil"/>
              <w:left w:val="single" w:color="auto" w:sz="6" w:space="0"/>
              <w:bottom w:val="single" w:color="auto" w:sz="6" w:space="0"/>
              <w:right w:val="single" w:color="auto" w:sz="6" w:space="0"/>
            </w:tcBorders>
            <w:shd w:val="clear"/>
            <w:vAlign w:val="top"/>
          </w:tcPr>
          <w:p>
            <w:pPr>
              <w:rPr>
                <w:rFonts w:hint="default" w:ascii="Arial" w:hAnsi="Arial" w:cs="Arial"/>
                <w:color w:val="333333"/>
                <w:sz w:val="18"/>
                <w:szCs w:val="18"/>
              </w:rPr>
            </w:pPr>
          </w:p>
        </w:tc>
        <w:tc>
          <w:tcPr>
            <w:tcW w:w="4020" w:type="dxa"/>
            <w:tcBorders>
              <w:top w:val="nil"/>
              <w:left w:val="nil"/>
              <w:bottom w:val="single" w:color="auto" w:sz="6" w:space="0"/>
              <w:right w:val="single" w:color="auto" w:sz="6" w:space="0"/>
            </w:tcBorders>
            <w:shd w:val="clear"/>
            <w:tcMar>
              <w:left w:w="165" w:type="dxa"/>
              <w:right w:w="165" w:type="dxa"/>
            </w:tcMar>
            <w:vAlign w:val="center"/>
          </w:tcPr>
          <w:p>
            <w:pPr>
              <w:pStyle w:val="2"/>
              <w:keepNext w:val="0"/>
              <w:keepLines w:val="0"/>
              <w:widowControl/>
              <w:suppressLineNumbers w:val="0"/>
              <w:jc w:val="left"/>
            </w:pPr>
            <w:r>
              <w:rPr>
                <w:rFonts w:hint="eastAsia" w:ascii="仿宋" w:hAnsi="仿宋" w:eastAsia="仿宋" w:cs="仿宋"/>
                <w:color w:val="000000"/>
                <w:sz w:val="24"/>
                <w:szCs w:val="24"/>
              </w:rPr>
              <w:t>艺术[1351]</w:t>
            </w:r>
          </w:p>
        </w:tc>
        <w:tc>
          <w:tcPr>
            <w:tcW w:w="1065" w:type="dxa"/>
            <w:tcBorders>
              <w:top w:val="nil"/>
              <w:left w:val="nil"/>
              <w:bottom w:val="single" w:color="auto" w:sz="6" w:space="0"/>
              <w:right w:val="single" w:color="auto" w:sz="6" w:space="0"/>
            </w:tcBorders>
            <w:shd w:val="clear"/>
            <w:noWrap/>
            <w:tcMar>
              <w:left w:w="165" w:type="dxa"/>
              <w:right w:w="165" w:type="dxa"/>
            </w:tcMar>
            <w:vAlign w:val="center"/>
          </w:tcPr>
          <w:p>
            <w:pPr>
              <w:pStyle w:val="2"/>
              <w:keepNext w:val="0"/>
              <w:keepLines w:val="0"/>
              <w:widowControl/>
              <w:suppressLineNumbers w:val="0"/>
              <w:jc w:val="center"/>
            </w:pPr>
            <w:r>
              <w:rPr>
                <w:rFonts w:hint="eastAsia" w:ascii="仿宋" w:hAnsi="仿宋" w:eastAsia="仿宋" w:cs="仿宋"/>
                <w:color w:val="000000"/>
                <w:sz w:val="24"/>
                <w:szCs w:val="24"/>
              </w:rPr>
              <w:t>300</w:t>
            </w:r>
          </w:p>
        </w:tc>
        <w:tc>
          <w:tcPr>
            <w:tcW w:w="67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40</w:t>
            </w:r>
          </w:p>
        </w:tc>
        <w:tc>
          <w:tcPr>
            <w:tcW w:w="55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40</w:t>
            </w:r>
          </w:p>
        </w:tc>
        <w:tc>
          <w:tcPr>
            <w:tcW w:w="915"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85</w:t>
            </w:r>
          </w:p>
        </w:tc>
        <w:tc>
          <w:tcPr>
            <w:tcW w:w="900" w:type="dxa"/>
            <w:tcBorders>
              <w:top w:val="nil"/>
              <w:left w:val="nil"/>
              <w:bottom w:val="single" w:color="auto" w:sz="6" w:space="0"/>
              <w:right w:val="single" w:color="auto" w:sz="6" w:space="0"/>
            </w:tcBorders>
            <w:shd w:val="clear"/>
            <w:vAlign w:val="center"/>
          </w:tcPr>
          <w:p>
            <w:pPr>
              <w:pStyle w:val="2"/>
              <w:keepNext w:val="0"/>
              <w:keepLines w:val="0"/>
              <w:widowControl/>
              <w:suppressLineNumbers w:val="0"/>
              <w:jc w:val="center"/>
            </w:pPr>
            <w:r>
              <w:rPr>
                <w:rFonts w:hint="eastAsia" w:ascii="仿宋" w:hAnsi="仿宋" w:eastAsia="仿宋" w:cs="仿宋"/>
                <w:color w:val="000000"/>
                <w:sz w:val="24"/>
                <w:szCs w:val="24"/>
              </w:rPr>
              <w:t>100</w:t>
            </w:r>
          </w:p>
        </w:tc>
        <w:tc>
          <w:tcPr>
            <w:tcW w:w="1035" w:type="dxa"/>
            <w:vMerge w:val="continue"/>
            <w:tcBorders>
              <w:top w:val="nil"/>
              <w:left w:val="nil"/>
              <w:bottom w:val="single" w:color="auto" w:sz="6" w:space="0"/>
              <w:right w:val="single" w:color="auto" w:sz="6" w:space="0"/>
            </w:tcBorders>
            <w:shd w:val="clear"/>
            <w:vAlign w:val="center"/>
          </w:tcPr>
          <w:p>
            <w:pPr>
              <w:rPr>
                <w:rFonts w:hint="default" w:ascii="Arial" w:hAnsi="Arial" w:cs="Arial"/>
                <w:color w:val="333333"/>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享受少数民族政策的考生（指工作单位在国务院公布的民族区域自治地方，即5个自治区、30个自治州、119个自治县（旗），定向就业回原单位的少数民族在职人员统考考生）初试总分分数线在所报考院系（专业）最低控制线下降20分，单科线下降5分。符合条件的考生须在3月9日前向报考院系提出书面申请，并出具相关证明材料。</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83DA5"/>
    <w:rsid w:val="51F83D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FFFFFF"/>
      <w:u w:val="none"/>
    </w:rPr>
  </w:style>
  <w:style w:type="character" w:styleId="6">
    <w:name w:val="Hyperlink"/>
    <w:basedOn w:val="4"/>
    <w:uiPriority w:val="0"/>
    <w:rPr>
      <w:color w:val="FFFF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2021-02-26T03:51:00Z</dcterms:created>
  <dc:creator>杨老师-北京启道邦学</dc:creator>
  <cp:lastModifiedBy>杨老师-北京启道邦学</cp:lastModifiedBy>
  <dcterms:modified xsi:type="dcterms:W3CDTF">2021-02-26T03:54:10Z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